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：</w:t>
      </w:r>
      <w:bookmarkStart w:id="1" w:name="_GoBack"/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个人职业生涯规划书评分细则</w:t>
      </w:r>
      <w:bookmarkEnd w:id="1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bookmarkStart w:id="0" w:name="_Hlk53923153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个人职业生涯规划书</w:t>
      </w:r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评分细则</w:t>
      </w:r>
    </w:p>
    <w:tbl>
      <w:tblPr>
        <w:tblStyle w:val="2"/>
        <w:tblW w:w="9101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973"/>
        <w:gridCol w:w="63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评分要素</w:t>
            </w: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评分要点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具体描述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划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自我认知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1．自我分析清晰、全面、深入、客观，能清楚地认识到自己的优劣势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2．将人才测评量化分析与自我深入分析综合客观地评价自我，职业兴趣、职业能力、职业价值观，个性特征分析全面、到位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val="en-US" w:eastAsia="zh-CN"/>
              </w:rPr>
              <w:t>须使用吉讯测评结果进行分析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3．从个人兴趣爱好、成长经历社会实践中分析自我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4．自我评估理论、模型应用正确、合理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职业认知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1．了解社会的整体就业趋势，并且了解大学生就业状况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2．对目标职业所处行业的现状及前景了解清晰，了解行业就业需求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3．熟悉目标职业的工作内容、工作环境、典型生活方式，了解目标职业的待遇、未来发展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4．对目标职位的进入途径、胜任标准了解清晰，深入了解目标职业对生活的影响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5．在探索过程中应用到文献检索、访谈、见习、实习等方法。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职业决策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1．职业目标确定和发展路径设计要符合外部环境和个人特质（兴趣、技能、价值观），要符合实际、可执行、可实现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2．对照自我认知和职业认知的结果，分析自己优、劣势及面临的机会和挑战，职业目标的选择过程阐述详尽，合乎逻辑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1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3．备选目标也要充分根据个人与环境的评估进行分析确定，备选目标职业发展路径与首选目标发展路径要有一定相关性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4．能够正确运用评估理论和决策模型做出决策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计划与路径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1．行动计划对保持个人优势、加强个人不足、全面提升个人竞争力有针对性、可操作性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2．近期计划详尽清晰、可操作性强，中期计划清晰并具有灵活性，长期计划具有方向性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3．职业发展路径充分考虑进入途径、胜任标准等探索结果，符合逻辑和现实，具有可操作性和竞争力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自我监控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1．对行动计划和职业目标设定评估方案，如要达到什么标准，评估的要素是什么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2．能够对行动计划实施过程和风险做出评估，并制定切实可行的调整方案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4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7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3．调整方案的制定充分根据个人与环境的评估进行分析确定，充分考虑首选目标与备选目标间的联系和差异，具有可操作性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8" w:hRule="atLeast"/>
          <w:tblCellSpacing w:w="0" w:type="dxa"/>
          <w:jc w:val="center"/>
        </w:trPr>
        <w:tc>
          <w:tcPr>
            <w:tcW w:w="79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参赛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设计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思路</w:t>
            </w: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作品完整性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（10%）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内容完整，对自我和外部环境进行全面分析，提出自己的职业目标、发展路径和行动计划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2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作品思路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和逻辑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（10%）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职业规划设计报告思路清晰、逻辑合理，能准确把握职业规划设计的核心与关键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  <w:tblCellSpacing w:w="0" w:type="dxa"/>
          <w:jc w:val="center"/>
        </w:trPr>
        <w:tc>
          <w:tcPr>
            <w:tcW w:w="79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97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作品美观性（5%）</w:t>
            </w:r>
          </w:p>
        </w:tc>
        <w:tc>
          <w:tcPr>
            <w:tcW w:w="63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格式清晰，版面大方美观，创意新颖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FD2579"/>
    <w:rsid w:val="51FD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2022-04-14T03:44:00Z</dcterms:created>
  <dc:creator>Administrator</dc:creator>
  <cp:lastModifiedBy>Administrator</cp:lastModifiedBy>
  <dcterms:modified xsi:type="dcterms:W3CDTF">2022-04-14T03:45:16Z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106E88B54ABC49B1A1CA095A2434EBEE</vt:lpwstr>
  </property>
</Properties>
</file>